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6B38" w14:textId="77777777" w:rsidR="0034019D" w:rsidRDefault="0034019D" w:rsidP="00266250">
      <w:pPr>
        <w:spacing w:line="259" w:lineRule="auto"/>
        <w:jc w:val="center"/>
        <w:rPr>
          <w:b/>
          <w:bCs/>
          <w:sz w:val="22"/>
          <w:szCs w:val="22"/>
        </w:rPr>
      </w:pPr>
    </w:p>
    <w:p w14:paraId="2CCA0200" w14:textId="3460528B" w:rsidR="001E3964" w:rsidRDefault="001E3964" w:rsidP="00266250">
      <w:pPr>
        <w:spacing w:line="259" w:lineRule="auto"/>
        <w:jc w:val="center"/>
        <w:rPr>
          <w:b/>
          <w:bCs/>
          <w:sz w:val="22"/>
          <w:szCs w:val="22"/>
        </w:rPr>
      </w:pPr>
      <w:r w:rsidRPr="00266250">
        <w:rPr>
          <w:b/>
          <w:bCs/>
          <w:sz w:val="22"/>
          <w:szCs w:val="22"/>
        </w:rPr>
        <w:t>Comité stratégi</w:t>
      </w:r>
      <w:r w:rsidR="008B5BE1">
        <w:rPr>
          <w:b/>
          <w:bCs/>
          <w:sz w:val="22"/>
          <w:szCs w:val="22"/>
        </w:rPr>
        <w:t>e et développement</w:t>
      </w:r>
    </w:p>
    <w:p w14:paraId="139DA56D" w14:textId="178BC110" w:rsidR="008B5BE1" w:rsidRPr="00266250" w:rsidRDefault="008B5BE1" w:rsidP="00266250">
      <w:pPr>
        <w:spacing w:line="259" w:lineRule="auto"/>
        <w:jc w:val="center"/>
        <w:rPr>
          <w:b/>
          <w:bCs/>
          <w:sz w:val="22"/>
          <w:szCs w:val="22"/>
        </w:rPr>
      </w:pPr>
      <w:r>
        <w:rPr>
          <w:b/>
          <w:bCs/>
          <w:sz w:val="22"/>
          <w:szCs w:val="22"/>
        </w:rPr>
        <w:t>Rapport annuel 2024-25</w:t>
      </w:r>
    </w:p>
    <w:p w14:paraId="5CBB8899" w14:textId="0567361B" w:rsidR="001E3964" w:rsidRPr="008B5BE1" w:rsidRDefault="00714DE9" w:rsidP="001E3964">
      <w:pPr>
        <w:jc w:val="both"/>
        <w:rPr>
          <w:b/>
          <w:bCs/>
          <w:sz w:val="22"/>
          <w:szCs w:val="22"/>
        </w:rPr>
      </w:pPr>
      <w:r w:rsidRPr="008B5BE1">
        <w:rPr>
          <w:b/>
          <w:bCs/>
          <w:sz w:val="22"/>
          <w:szCs w:val="22"/>
        </w:rPr>
        <w:t>Membres du comité :</w:t>
      </w:r>
    </w:p>
    <w:p w14:paraId="76835186" w14:textId="5B6E860E" w:rsidR="00714DE9" w:rsidRPr="008B5BE1" w:rsidRDefault="00714DE9" w:rsidP="00F618AE">
      <w:pPr>
        <w:spacing w:line="240" w:lineRule="auto"/>
        <w:contextualSpacing/>
        <w:jc w:val="both"/>
        <w:rPr>
          <w:sz w:val="22"/>
          <w:szCs w:val="22"/>
        </w:rPr>
      </w:pPr>
      <w:r w:rsidRPr="008B5BE1">
        <w:rPr>
          <w:sz w:val="22"/>
          <w:szCs w:val="22"/>
        </w:rPr>
        <w:t>Jean-Philippe Chartier</w:t>
      </w:r>
      <w:r w:rsidR="00F618AE" w:rsidRPr="008B5BE1">
        <w:rPr>
          <w:sz w:val="22"/>
          <w:szCs w:val="22"/>
        </w:rPr>
        <w:t>, directeur général</w:t>
      </w:r>
      <w:r w:rsidR="00296F1C">
        <w:rPr>
          <w:sz w:val="22"/>
          <w:szCs w:val="22"/>
        </w:rPr>
        <w:t>, Waterpolo Québec</w:t>
      </w:r>
    </w:p>
    <w:p w14:paraId="4BB40810" w14:textId="4C2F38DB" w:rsidR="00714DE9" w:rsidRPr="008B5BE1" w:rsidRDefault="00714DE9" w:rsidP="00F618AE">
      <w:pPr>
        <w:spacing w:line="240" w:lineRule="auto"/>
        <w:contextualSpacing/>
        <w:jc w:val="both"/>
        <w:rPr>
          <w:sz w:val="22"/>
          <w:szCs w:val="22"/>
        </w:rPr>
      </w:pPr>
      <w:r w:rsidRPr="008B5BE1">
        <w:rPr>
          <w:sz w:val="22"/>
          <w:szCs w:val="22"/>
        </w:rPr>
        <w:t>Florence Dionne</w:t>
      </w:r>
      <w:r w:rsidR="00F618AE" w:rsidRPr="008B5BE1">
        <w:rPr>
          <w:sz w:val="22"/>
          <w:szCs w:val="22"/>
        </w:rPr>
        <w:t>, administratrice</w:t>
      </w:r>
      <w:r w:rsidR="00296F1C">
        <w:rPr>
          <w:sz w:val="22"/>
          <w:szCs w:val="22"/>
        </w:rPr>
        <w:t xml:space="preserve">, </w:t>
      </w:r>
      <w:r w:rsidR="00296F1C">
        <w:rPr>
          <w:sz w:val="22"/>
          <w:szCs w:val="22"/>
        </w:rPr>
        <w:t>Waterpolo Québec</w:t>
      </w:r>
    </w:p>
    <w:p w14:paraId="329A77E5" w14:textId="0EDADC0F" w:rsidR="00F618AE" w:rsidRPr="008B5BE1" w:rsidRDefault="00714DE9" w:rsidP="00F618AE">
      <w:pPr>
        <w:spacing w:line="240" w:lineRule="auto"/>
        <w:contextualSpacing/>
        <w:jc w:val="both"/>
        <w:rPr>
          <w:sz w:val="22"/>
          <w:szCs w:val="22"/>
        </w:rPr>
      </w:pPr>
      <w:r w:rsidRPr="008B5BE1">
        <w:rPr>
          <w:sz w:val="22"/>
          <w:szCs w:val="22"/>
        </w:rPr>
        <w:t>Philippe Malette</w:t>
      </w:r>
      <w:r w:rsidR="00F618AE" w:rsidRPr="008B5BE1">
        <w:rPr>
          <w:sz w:val="22"/>
          <w:szCs w:val="22"/>
        </w:rPr>
        <w:t>, administrateur</w:t>
      </w:r>
      <w:r w:rsidR="00296F1C">
        <w:rPr>
          <w:sz w:val="22"/>
          <w:szCs w:val="22"/>
        </w:rPr>
        <w:t xml:space="preserve">, </w:t>
      </w:r>
      <w:r w:rsidR="00296F1C">
        <w:rPr>
          <w:sz w:val="22"/>
          <w:szCs w:val="22"/>
        </w:rPr>
        <w:t>Waterpolo Québec</w:t>
      </w:r>
    </w:p>
    <w:p w14:paraId="28689FF1" w14:textId="21851F76" w:rsidR="00714DE9" w:rsidRPr="008B5BE1" w:rsidRDefault="00714DE9" w:rsidP="00F618AE">
      <w:pPr>
        <w:spacing w:line="240" w:lineRule="auto"/>
        <w:contextualSpacing/>
        <w:jc w:val="both"/>
        <w:rPr>
          <w:sz w:val="22"/>
          <w:szCs w:val="22"/>
        </w:rPr>
      </w:pPr>
      <w:r w:rsidRPr="008B5BE1">
        <w:rPr>
          <w:sz w:val="22"/>
          <w:szCs w:val="22"/>
        </w:rPr>
        <w:t>Geneviève Piquette</w:t>
      </w:r>
      <w:r w:rsidR="00F618AE" w:rsidRPr="008B5BE1">
        <w:rPr>
          <w:sz w:val="22"/>
          <w:szCs w:val="22"/>
        </w:rPr>
        <w:t>, administratrice</w:t>
      </w:r>
      <w:r w:rsidR="00296F1C">
        <w:rPr>
          <w:sz w:val="22"/>
          <w:szCs w:val="22"/>
        </w:rPr>
        <w:t xml:space="preserve">, </w:t>
      </w:r>
      <w:r w:rsidR="00296F1C">
        <w:rPr>
          <w:sz w:val="22"/>
          <w:szCs w:val="22"/>
        </w:rPr>
        <w:t>Waterpolo Québec</w:t>
      </w:r>
    </w:p>
    <w:p w14:paraId="6196F110" w14:textId="4A0AC0DC" w:rsidR="00714DE9" w:rsidRPr="008B5BE1" w:rsidRDefault="00714DE9" w:rsidP="00F618AE">
      <w:pPr>
        <w:spacing w:line="240" w:lineRule="auto"/>
        <w:contextualSpacing/>
        <w:jc w:val="both"/>
        <w:rPr>
          <w:sz w:val="22"/>
          <w:szCs w:val="22"/>
        </w:rPr>
      </w:pPr>
      <w:r w:rsidRPr="008B5BE1">
        <w:rPr>
          <w:sz w:val="22"/>
          <w:szCs w:val="22"/>
        </w:rPr>
        <w:t>Jana Salat</w:t>
      </w:r>
      <w:r w:rsidR="00F618AE" w:rsidRPr="008B5BE1">
        <w:rPr>
          <w:sz w:val="22"/>
          <w:szCs w:val="22"/>
        </w:rPr>
        <w:t>, administratrice</w:t>
      </w:r>
      <w:r w:rsidR="00296F1C">
        <w:rPr>
          <w:sz w:val="22"/>
          <w:szCs w:val="22"/>
        </w:rPr>
        <w:t xml:space="preserve">, </w:t>
      </w:r>
      <w:r w:rsidR="00296F1C">
        <w:rPr>
          <w:sz w:val="22"/>
          <w:szCs w:val="22"/>
        </w:rPr>
        <w:t>Waterpolo Québec</w:t>
      </w:r>
    </w:p>
    <w:p w14:paraId="0D80AFC6" w14:textId="77777777" w:rsidR="00714DE9" w:rsidRPr="008B5BE1" w:rsidRDefault="00714DE9" w:rsidP="001E3964">
      <w:pPr>
        <w:jc w:val="both"/>
        <w:rPr>
          <w:b/>
          <w:bCs/>
          <w:sz w:val="22"/>
          <w:szCs w:val="22"/>
        </w:rPr>
      </w:pPr>
    </w:p>
    <w:p w14:paraId="2174442E" w14:textId="77777777" w:rsidR="001E3964" w:rsidRPr="008B5BE1" w:rsidRDefault="001E3964" w:rsidP="001E3964">
      <w:pPr>
        <w:jc w:val="both"/>
        <w:rPr>
          <w:b/>
          <w:bCs/>
          <w:sz w:val="22"/>
          <w:szCs w:val="22"/>
        </w:rPr>
      </w:pPr>
      <w:r w:rsidRPr="008B5BE1">
        <w:rPr>
          <w:b/>
          <w:bCs/>
          <w:sz w:val="22"/>
          <w:szCs w:val="22"/>
        </w:rPr>
        <w:t>Rapport annuel 2024-2025</w:t>
      </w:r>
    </w:p>
    <w:p w14:paraId="30D51863" w14:textId="77777777" w:rsidR="001E3964" w:rsidRPr="008B5BE1" w:rsidRDefault="001E3964" w:rsidP="001E3964">
      <w:pPr>
        <w:jc w:val="both"/>
        <w:rPr>
          <w:sz w:val="22"/>
          <w:szCs w:val="22"/>
        </w:rPr>
      </w:pPr>
      <w:r w:rsidRPr="008B5BE1">
        <w:rPr>
          <w:sz w:val="22"/>
          <w:szCs w:val="22"/>
        </w:rPr>
        <w:t>En novembre 2024, le conseil d’administration a fixé comme objectif l’élaboration d’un nouveau plan stratégique, dont le dépôt est prévu à l’assemblée générale de novembre 2025. Le Comité stratégique a été mandaté pour accompagner cette démarche et veiller à ce que chacune des étapes prévues soit réalisée dans les délais, dans un esprit de consultation et de collaboration avec les membres.</w:t>
      </w:r>
    </w:p>
    <w:p w14:paraId="1ECC8315" w14:textId="68BCC33E" w:rsidR="001E3964" w:rsidRDefault="001E3964" w:rsidP="001E3964">
      <w:pPr>
        <w:jc w:val="both"/>
        <w:rPr>
          <w:sz w:val="22"/>
          <w:szCs w:val="22"/>
        </w:rPr>
      </w:pPr>
      <w:r w:rsidRPr="008B5BE1">
        <w:rPr>
          <w:sz w:val="22"/>
          <w:szCs w:val="22"/>
        </w:rPr>
        <w:t>Depuis le début des travaux, le comité s’est réuni à plusieurs reprises et a assuré un suivi rigoureux de l’échéancier. Les principales étapes franchies au cours de l’exercice sont les suivantes :</w:t>
      </w:r>
    </w:p>
    <w:p w14:paraId="6D85D20F" w14:textId="77777777" w:rsidR="00AE5D69" w:rsidRPr="008B5BE1" w:rsidRDefault="00AE5D69" w:rsidP="001E3964">
      <w:pPr>
        <w:jc w:val="both"/>
        <w:rPr>
          <w:sz w:val="22"/>
          <w:szCs w:val="22"/>
        </w:rPr>
      </w:pPr>
    </w:p>
    <w:p w14:paraId="26CD9113" w14:textId="77777777" w:rsidR="001E3964" w:rsidRPr="008B5BE1" w:rsidRDefault="001E3964" w:rsidP="001E3964">
      <w:pPr>
        <w:jc w:val="both"/>
        <w:rPr>
          <w:b/>
          <w:bCs/>
          <w:sz w:val="22"/>
          <w:szCs w:val="22"/>
        </w:rPr>
      </w:pPr>
      <w:r w:rsidRPr="008B5BE1">
        <w:rPr>
          <w:b/>
          <w:bCs/>
          <w:sz w:val="22"/>
          <w:szCs w:val="22"/>
        </w:rPr>
        <w:t>Réalisations en 2024-2025</w:t>
      </w:r>
    </w:p>
    <w:p w14:paraId="37435494" w14:textId="77777777" w:rsidR="001E3964" w:rsidRPr="008B5BE1" w:rsidRDefault="001E3964" w:rsidP="001E3964">
      <w:pPr>
        <w:numPr>
          <w:ilvl w:val="0"/>
          <w:numId w:val="1"/>
        </w:numPr>
        <w:jc w:val="both"/>
        <w:rPr>
          <w:sz w:val="22"/>
          <w:szCs w:val="22"/>
        </w:rPr>
      </w:pPr>
      <w:r w:rsidRPr="008B5BE1">
        <w:rPr>
          <w:b/>
          <w:bCs/>
          <w:sz w:val="22"/>
          <w:szCs w:val="22"/>
        </w:rPr>
        <w:t>Janvier 2025</w:t>
      </w:r>
      <w:r w:rsidRPr="008B5BE1">
        <w:rPr>
          <w:sz w:val="22"/>
          <w:szCs w:val="22"/>
        </w:rPr>
        <w:t xml:space="preserve"> : adoption d’un plan d’action et d’un calendrier de travail afin de structurer la démarche et d’assurer la livraison du plan stratégique dans les délais convenus.</w:t>
      </w:r>
    </w:p>
    <w:p w14:paraId="2D1080F7" w14:textId="77777777" w:rsidR="001E3964" w:rsidRPr="008B5BE1" w:rsidRDefault="001E3964" w:rsidP="001E3964">
      <w:pPr>
        <w:numPr>
          <w:ilvl w:val="0"/>
          <w:numId w:val="1"/>
        </w:numPr>
        <w:jc w:val="both"/>
        <w:rPr>
          <w:sz w:val="22"/>
          <w:szCs w:val="22"/>
        </w:rPr>
      </w:pPr>
      <w:r w:rsidRPr="008B5BE1">
        <w:rPr>
          <w:b/>
          <w:bCs/>
          <w:sz w:val="22"/>
          <w:szCs w:val="22"/>
        </w:rPr>
        <w:t>Février 2025</w:t>
      </w:r>
      <w:r w:rsidRPr="008B5BE1">
        <w:rPr>
          <w:sz w:val="22"/>
          <w:szCs w:val="22"/>
        </w:rPr>
        <w:t xml:space="preserve"> : réalisation d’un sondage auprès des présidents de clubs et de l’équipe d’entraîneurs d’équipe Québec, permettant d’établir un premier portrait basé entre autres sur les forces, faiblesses, opportunités et menaces. Planification d’une rencontre avec le Conseil des présidents pour approfondir ces résultats.</w:t>
      </w:r>
    </w:p>
    <w:p w14:paraId="6D305D58" w14:textId="77777777" w:rsidR="001E3964" w:rsidRPr="008B5BE1" w:rsidRDefault="001E3964" w:rsidP="001E3964">
      <w:pPr>
        <w:numPr>
          <w:ilvl w:val="0"/>
          <w:numId w:val="1"/>
        </w:numPr>
        <w:jc w:val="both"/>
        <w:rPr>
          <w:sz w:val="22"/>
          <w:szCs w:val="22"/>
        </w:rPr>
      </w:pPr>
      <w:r w:rsidRPr="008B5BE1">
        <w:rPr>
          <w:b/>
          <w:bCs/>
          <w:sz w:val="22"/>
          <w:szCs w:val="22"/>
        </w:rPr>
        <w:t>Mars 2025</w:t>
      </w:r>
      <w:r w:rsidRPr="008B5BE1">
        <w:rPr>
          <w:sz w:val="22"/>
          <w:szCs w:val="22"/>
        </w:rPr>
        <w:t xml:space="preserve"> : tenue d’un atelier de travail avec les présidents des clubs membres, offrant l’occasion de discuter collectivement des constats du sondage et d’explorer différentes avenues de développement.</w:t>
      </w:r>
    </w:p>
    <w:p w14:paraId="7379DC19" w14:textId="77777777" w:rsidR="001E3964" w:rsidRPr="008B5BE1" w:rsidRDefault="001E3964" w:rsidP="001E3964">
      <w:pPr>
        <w:numPr>
          <w:ilvl w:val="0"/>
          <w:numId w:val="1"/>
        </w:numPr>
        <w:jc w:val="both"/>
        <w:rPr>
          <w:sz w:val="22"/>
          <w:szCs w:val="22"/>
        </w:rPr>
      </w:pPr>
      <w:r w:rsidRPr="008B5BE1">
        <w:rPr>
          <w:b/>
          <w:bCs/>
          <w:sz w:val="22"/>
          <w:szCs w:val="22"/>
        </w:rPr>
        <w:t>Avril 2025</w:t>
      </w:r>
      <w:r w:rsidRPr="008B5BE1">
        <w:rPr>
          <w:sz w:val="22"/>
          <w:szCs w:val="22"/>
        </w:rPr>
        <w:t xml:space="preserve"> : analyse des échanges et synthèse des pistes issues de la rencontre de mars.</w:t>
      </w:r>
    </w:p>
    <w:p w14:paraId="19478FBC" w14:textId="14910806" w:rsidR="00AE5D69" w:rsidRPr="00296F1C" w:rsidRDefault="001E3964" w:rsidP="00296F1C">
      <w:pPr>
        <w:numPr>
          <w:ilvl w:val="0"/>
          <w:numId w:val="1"/>
        </w:numPr>
        <w:jc w:val="both"/>
        <w:rPr>
          <w:sz w:val="22"/>
          <w:szCs w:val="22"/>
        </w:rPr>
      </w:pPr>
      <w:r w:rsidRPr="008B5BE1">
        <w:rPr>
          <w:b/>
          <w:bCs/>
          <w:sz w:val="22"/>
          <w:szCs w:val="22"/>
        </w:rPr>
        <w:t>Mai 2025</w:t>
      </w:r>
      <w:r w:rsidRPr="008B5BE1">
        <w:rPr>
          <w:sz w:val="22"/>
          <w:szCs w:val="22"/>
        </w:rPr>
        <w:t xml:space="preserve"> : présentation d’une première ébauche du plan stratégique au conseil d’administration.</w:t>
      </w:r>
    </w:p>
    <w:p w14:paraId="6CA57017" w14:textId="771C2EF6" w:rsidR="00296F1C" w:rsidRPr="00296F1C" w:rsidRDefault="001E3964" w:rsidP="00296F1C">
      <w:pPr>
        <w:numPr>
          <w:ilvl w:val="0"/>
          <w:numId w:val="1"/>
        </w:numPr>
        <w:jc w:val="both"/>
        <w:rPr>
          <w:sz w:val="22"/>
          <w:szCs w:val="22"/>
        </w:rPr>
      </w:pPr>
      <w:r w:rsidRPr="008B5BE1">
        <w:rPr>
          <w:b/>
          <w:bCs/>
          <w:sz w:val="22"/>
          <w:szCs w:val="22"/>
        </w:rPr>
        <w:t>Été 2025</w:t>
      </w:r>
      <w:r w:rsidRPr="008B5BE1">
        <w:rPr>
          <w:sz w:val="22"/>
          <w:szCs w:val="22"/>
        </w:rPr>
        <w:t xml:space="preserve"> : période de révision et d’ajustement de cette ébauche, afin d’en assurer la cohérence et la pertinence.</w:t>
      </w:r>
    </w:p>
    <w:p w14:paraId="60E4CD8E" w14:textId="77777777" w:rsidR="00296F1C" w:rsidRPr="00296F1C" w:rsidRDefault="00296F1C" w:rsidP="00296F1C">
      <w:pPr>
        <w:ind w:left="720"/>
        <w:jc w:val="both"/>
        <w:rPr>
          <w:sz w:val="22"/>
          <w:szCs w:val="22"/>
        </w:rPr>
      </w:pPr>
    </w:p>
    <w:p w14:paraId="761EFA19" w14:textId="77777777" w:rsidR="00296F1C" w:rsidRPr="00296F1C" w:rsidRDefault="00296F1C" w:rsidP="00296F1C">
      <w:pPr>
        <w:ind w:left="720"/>
        <w:jc w:val="both"/>
        <w:rPr>
          <w:sz w:val="22"/>
          <w:szCs w:val="22"/>
        </w:rPr>
      </w:pPr>
    </w:p>
    <w:p w14:paraId="23B685AA" w14:textId="0F4288B5" w:rsidR="00296F1C" w:rsidRPr="00296F1C" w:rsidRDefault="001E3964" w:rsidP="00296F1C">
      <w:pPr>
        <w:numPr>
          <w:ilvl w:val="0"/>
          <w:numId w:val="1"/>
        </w:numPr>
        <w:jc w:val="both"/>
        <w:rPr>
          <w:sz w:val="22"/>
          <w:szCs w:val="22"/>
        </w:rPr>
      </w:pPr>
      <w:r w:rsidRPr="008B5BE1">
        <w:rPr>
          <w:b/>
          <w:bCs/>
          <w:sz w:val="22"/>
          <w:szCs w:val="22"/>
        </w:rPr>
        <w:t>Août 2025</w:t>
      </w:r>
      <w:r w:rsidRPr="008B5BE1">
        <w:rPr>
          <w:sz w:val="22"/>
          <w:szCs w:val="22"/>
        </w:rPr>
        <w:t xml:space="preserve"> : validation des ajustements finaux par le comité stratégique et confirmation des prochaines étapes de consultation.</w:t>
      </w:r>
    </w:p>
    <w:p w14:paraId="3B75BE8B" w14:textId="1AED7BE3" w:rsidR="001E3964" w:rsidRPr="008B5BE1" w:rsidRDefault="001E3964" w:rsidP="001E3964">
      <w:pPr>
        <w:numPr>
          <w:ilvl w:val="0"/>
          <w:numId w:val="1"/>
        </w:numPr>
        <w:jc w:val="both"/>
        <w:rPr>
          <w:sz w:val="22"/>
          <w:szCs w:val="22"/>
        </w:rPr>
      </w:pPr>
      <w:r w:rsidRPr="008B5BE1">
        <w:rPr>
          <w:b/>
          <w:bCs/>
          <w:sz w:val="22"/>
          <w:szCs w:val="22"/>
        </w:rPr>
        <w:t>Septembre 2025</w:t>
      </w:r>
      <w:r w:rsidRPr="008B5BE1">
        <w:rPr>
          <w:sz w:val="22"/>
          <w:szCs w:val="22"/>
        </w:rPr>
        <w:t xml:space="preserve"> : transmission du projet de plan stratégique aux présidents de clubs, afin de recueillir leurs observations et suggestions.</w:t>
      </w:r>
    </w:p>
    <w:p w14:paraId="2F1BB29D" w14:textId="77777777" w:rsidR="001E3964" w:rsidRPr="008B5BE1" w:rsidRDefault="001E3964" w:rsidP="001E3964">
      <w:pPr>
        <w:numPr>
          <w:ilvl w:val="0"/>
          <w:numId w:val="1"/>
        </w:numPr>
        <w:jc w:val="both"/>
        <w:rPr>
          <w:sz w:val="22"/>
          <w:szCs w:val="22"/>
        </w:rPr>
      </w:pPr>
      <w:r w:rsidRPr="008B5BE1">
        <w:rPr>
          <w:b/>
          <w:bCs/>
          <w:sz w:val="22"/>
          <w:szCs w:val="22"/>
        </w:rPr>
        <w:t>Octobre 2025</w:t>
      </w:r>
      <w:r w:rsidRPr="008B5BE1">
        <w:rPr>
          <w:sz w:val="22"/>
          <w:szCs w:val="22"/>
        </w:rPr>
        <w:t xml:space="preserve"> : rencontre prévue pour intégrer, le cas échéant, les ajustements proposés par les clubs.</w:t>
      </w:r>
    </w:p>
    <w:p w14:paraId="22DB0A9B" w14:textId="12B3F4E1" w:rsidR="001E3964" w:rsidRPr="008B5BE1" w:rsidRDefault="001E3964" w:rsidP="001E3964">
      <w:pPr>
        <w:numPr>
          <w:ilvl w:val="0"/>
          <w:numId w:val="1"/>
        </w:numPr>
        <w:jc w:val="both"/>
        <w:rPr>
          <w:sz w:val="22"/>
          <w:szCs w:val="22"/>
        </w:rPr>
      </w:pPr>
      <w:r w:rsidRPr="008B5BE1">
        <w:rPr>
          <w:b/>
          <w:bCs/>
          <w:sz w:val="22"/>
          <w:szCs w:val="22"/>
        </w:rPr>
        <w:t>Novembre 2025</w:t>
      </w:r>
      <w:r w:rsidRPr="008B5BE1">
        <w:rPr>
          <w:sz w:val="22"/>
          <w:szCs w:val="22"/>
        </w:rPr>
        <w:t xml:space="preserve"> : dépôt officiel et présentation du plan stratégique 2026-2029 à l’assemblée générale annuelle.</w:t>
      </w:r>
    </w:p>
    <w:p w14:paraId="371E968F" w14:textId="478A40F4" w:rsidR="001E3964" w:rsidRPr="008B5BE1" w:rsidRDefault="001E3964" w:rsidP="001E3964">
      <w:pPr>
        <w:jc w:val="both"/>
        <w:rPr>
          <w:sz w:val="22"/>
          <w:szCs w:val="22"/>
        </w:rPr>
      </w:pPr>
      <w:r w:rsidRPr="008B5BE1">
        <w:rPr>
          <w:sz w:val="22"/>
          <w:szCs w:val="22"/>
        </w:rPr>
        <w:t>Le comité a mandaté l'exécutif pour la réalisation d'un plan d'action concret qui vient donner vie aux axes stratégiques. Il pourrait s'agir d'un plan annuel présenté aux membres lors de l'AGA, et ce, à chaque année. </w:t>
      </w:r>
    </w:p>
    <w:p w14:paraId="53C6B6FB" w14:textId="109ECCAC" w:rsidR="001E3964" w:rsidRPr="008B5BE1" w:rsidRDefault="001E3964" w:rsidP="001E3964">
      <w:pPr>
        <w:jc w:val="both"/>
        <w:rPr>
          <w:sz w:val="22"/>
          <w:szCs w:val="22"/>
        </w:rPr>
      </w:pPr>
      <w:r w:rsidRPr="008B5BE1">
        <w:rPr>
          <w:sz w:val="22"/>
          <w:szCs w:val="22"/>
        </w:rPr>
        <w:t xml:space="preserve">Le comité souligne l’importance du processus consultatif engagé, qui a permis d’assurer une participation active des clubs membres et d’alimenter la réflexion collective. Il demeure convaincu que la démarche menée au cours de l’année permettra de soumettre un plan stratégique mobilisateur et porteur pour l’ensemble de la communauté du water-polo du Québec. </w:t>
      </w:r>
    </w:p>
    <w:p w14:paraId="188F1EEA" w14:textId="09669D45" w:rsidR="001E3964" w:rsidRPr="008B5BE1" w:rsidRDefault="001E3964" w:rsidP="001E3964">
      <w:pPr>
        <w:jc w:val="both"/>
        <w:rPr>
          <w:sz w:val="22"/>
          <w:szCs w:val="22"/>
        </w:rPr>
      </w:pPr>
    </w:p>
    <w:p w14:paraId="77056FE4" w14:textId="77777777" w:rsidR="00ED6DE8" w:rsidRPr="008B5BE1" w:rsidRDefault="00ED6DE8">
      <w:pPr>
        <w:rPr>
          <w:sz w:val="22"/>
          <w:szCs w:val="22"/>
        </w:rPr>
      </w:pPr>
    </w:p>
    <w:sectPr w:rsidR="00ED6DE8" w:rsidRPr="008B5BE1" w:rsidSect="00296F1C">
      <w:head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9E54" w14:textId="77777777" w:rsidR="0034019D" w:rsidRDefault="0034019D" w:rsidP="0034019D">
      <w:pPr>
        <w:spacing w:after="0" w:line="240" w:lineRule="auto"/>
      </w:pPr>
      <w:r>
        <w:separator/>
      </w:r>
    </w:p>
  </w:endnote>
  <w:endnote w:type="continuationSeparator" w:id="0">
    <w:p w14:paraId="2DEB19FA" w14:textId="77777777" w:rsidR="0034019D" w:rsidRDefault="0034019D" w:rsidP="0034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92D6" w14:textId="77777777" w:rsidR="0034019D" w:rsidRDefault="0034019D" w:rsidP="0034019D">
      <w:pPr>
        <w:spacing w:after="0" w:line="240" w:lineRule="auto"/>
      </w:pPr>
      <w:r>
        <w:separator/>
      </w:r>
    </w:p>
  </w:footnote>
  <w:footnote w:type="continuationSeparator" w:id="0">
    <w:p w14:paraId="748F25B8" w14:textId="77777777" w:rsidR="0034019D" w:rsidRDefault="0034019D" w:rsidP="00340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D7A7" w14:textId="77777777" w:rsidR="0034019D" w:rsidRPr="0034019D" w:rsidRDefault="0034019D" w:rsidP="0034019D">
    <w:pPr>
      <w:pStyle w:val="En-tte"/>
      <w:jc w:val="right"/>
      <w:rPr>
        <w:sz w:val="22"/>
        <w:szCs w:val="22"/>
      </w:rPr>
    </w:pPr>
    <w:r w:rsidRPr="0034019D">
      <w:rPr>
        <w:noProof/>
        <w:sz w:val="22"/>
        <w:szCs w:val="22"/>
      </w:rPr>
      <w:drawing>
        <wp:anchor distT="0" distB="0" distL="114300" distR="114300" simplePos="0" relativeHeight="251659264" behindDoc="0" locked="0" layoutInCell="1" allowOverlap="1" wp14:anchorId="2F460197" wp14:editId="5E1BED36">
          <wp:simplePos x="0" y="0"/>
          <wp:positionH relativeFrom="margin">
            <wp:align>left</wp:align>
          </wp:positionH>
          <wp:positionV relativeFrom="paragraph">
            <wp:posOffset>-280768</wp:posOffset>
          </wp:positionV>
          <wp:extent cx="794385" cy="794385"/>
          <wp:effectExtent l="0" t="0" r="5715" b="5715"/>
          <wp:wrapSquare wrapText="bothSides"/>
          <wp:docPr id="592930322" name="Image 1" descr="Une image contenant symbole, logo, Emblème,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30322" name="Image 1" descr="Une image contenant symbole, logo, Emblème, Mar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margin">
            <wp14:pctWidth>0</wp14:pctWidth>
          </wp14:sizeRelH>
          <wp14:sizeRelV relativeFrom="margin">
            <wp14:pctHeight>0</wp14:pctHeight>
          </wp14:sizeRelV>
        </wp:anchor>
      </w:drawing>
    </w:r>
    <w:r w:rsidRPr="0034019D">
      <w:rPr>
        <w:sz w:val="22"/>
        <w:szCs w:val="22"/>
      </w:rPr>
      <w:t>Rapport de comité</w:t>
    </w:r>
  </w:p>
  <w:p w14:paraId="4CB3F836" w14:textId="77777777" w:rsidR="0034019D" w:rsidRPr="0034019D" w:rsidRDefault="0034019D" w:rsidP="0034019D">
    <w:pPr>
      <w:pStyle w:val="En-tte"/>
      <w:jc w:val="right"/>
      <w:rPr>
        <w:sz w:val="22"/>
        <w:szCs w:val="22"/>
      </w:rPr>
    </w:pPr>
    <w:r w:rsidRPr="0034019D">
      <w:rPr>
        <w:sz w:val="22"/>
        <w:szCs w:val="22"/>
      </w:rPr>
      <w:t>2024-25</w:t>
    </w:r>
  </w:p>
  <w:p w14:paraId="6830F21C" w14:textId="77777777" w:rsidR="0034019D" w:rsidRDefault="003401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511C"/>
    <w:multiLevelType w:val="multilevel"/>
    <w:tmpl w:val="E316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5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64"/>
    <w:rsid w:val="00065C83"/>
    <w:rsid w:val="000D0BAF"/>
    <w:rsid w:val="000D5DE0"/>
    <w:rsid w:val="000F7691"/>
    <w:rsid w:val="001E3964"/>
    <w:rsid w:val="00266250"/>
    <w:rsid w:val="00296F1C"/>
    <w:rsid w:val="0034019D"/>
    <w:rsid w:val="00714DE9"/>
    <w:rsid w:val="007D5482"/>
    <w:rsid w:val="008B5BE1"/>
    <w:rsid w:val="00AE5D69"/>
    <w:rsid w:val="00E15641"/>
    <w:rsid w:val="00ED6DE8"/>
    <w:rsid w:val="00F618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3134"/>
  <w15:chartTrackingRefBased/>
  <w15:docId w15:val="{5CEEB463-34D6-4265-BD4B-4796B95A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964"/>
  </w:style>
  <w:style w:type="paragraph" w:styleId="Titre1">
    <w:name w:val="heading 1"/>
    <w:basedOn w:val="Normal"/>
    <w:next w:val="Normal"/>
    <w:link w:val="Titre1Car"/>
    <w:uiPriority w:val="9"/>
    <w:qFormat/>
    <w:rsid w:val="001E3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E3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E39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E396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E396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E39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39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39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39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39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E396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E396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E396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E396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E39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39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39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3964"/>
    <w:rPr>
      <w:rFonts w:eastAsiaTheme="majorEastAsia" w:cstheme="majorBidi"/>
      <w:color w:val="272727" w:themeColor="text1" w:themeTint="D8"/>
    </w:rPr>
  </w:style>
  <w:style w:type="paragraph" w:styleId="Titre">
    <w:name w:val="Title"/>
    <w:basedOn w:val="Normal"/>
    <w:next w:val="Normal"/>
    <w:link w:val="TitreCar"/>
    <w:uiPriority w:val="10"/>
    <w:qFormat/>
    <w:rsid w:val="001E3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39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39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39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3964"/>
    <w:pPr>
      <w:spacing w:before="160"/>
      <w:jc w:val="center"/>
    </w:pPr>
    <w:rPr>
      <w:i/>
      <w:iCs/>
      <w:color w:val="404040" w:themeColor="text1" w:themeTint="BF"/>
    </w:rPr>
  </w:style>
  <w:style w:type="character" w:customStyle="1" w:styleId="CitationCar">
    <w:name w:val="Citation Car"/>
    <w:basedOn w:val="Policepardfaut"/>
    <w:link w:val="Citation"/>
    <w:uiPriority w:val="29"/>
    <w:rsid w:val="001E3964"/>
    <w:rPr>
      <w:i/>
      <w:iCs/>
      <w:color w:val="404040" w:themeColor="text1" w:themeTint="BF"/>
    </w:rPr>
  </w:style>
  <w:style w:type="paragraph" w:styleId="Paragraphedeliste">
    <w:name w:val="List Paragraph"/>
    <w:basedOn w:val="Normal"/>
    <w:uiPriority w:val="34"/>
    <w:qFormat/>
    <w:rsid w:val="001E3964"/>
    <w:pPr>
      <w:ind w:left="720"/>
      <w:contextualSpacing/>
    </w:pPr>
  </w:style>
  <w:style w:type="character" w:styleId="Accentuationintense">
    <w:name w:val="Intense Emphasis"/>
    <w:basedOn w:val="Policepardfaut"/>
    <w:uiPriority w:val="21"/>
    <w:qFormat/>
    <w:rsid w:val="001E3964"/>
    <w:rPr>
      <w:i/>
      <w:iCs/>
      <w:color w:val="0F4761" w:themeColor="accent1" w:themeShade="BF"/>
    </w:rPr>
  </w:style>
  <w:style w:type="paragraph" w:styleId="Citationintense">
    <w:name w:val="Intense Quote"/>
    <w:basedOn w:val="Normal"/>
    <w:next w:val="Normal"/>
    <w:link w:val="CitationintenseCar"/>
    <w:uiPriority w:val="30"/>
    <w:qFormat/>
    <w:rsid w:val="001E3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E3964"/>
    <w:rPr>
      <w:i/>
      <w:iCs/>
      <w:color w:val="0F4761" w:themeColor="accent1" w:themeShade="BF"/>
    </w:rPr>
  </w:style>
  <w:style w:type="character" w:styleId="Rfrenceintense">
    <w:name w:val="Intense Reference"/>
    <w:basedOn w:val="Policepardfaut"/>
    <w:uiPriority w:val="32"/>
    <w:qFormat/>
    <w:rsid w:val="001E3964"/>
    <w:rPr>
      <w:b/>
      <w:bCs/>
      <w:smallCaps/>
      <w:color w:val="0F4761" w:themeColor="accent1" w:themeShade="BF"/>
      <w:spacing w:val="5"/>
    </w:rPr>
  </w:style>
  <w:style w:type="paragraph" w:styleId="En-tte">
    <w:name w:val="header"/>
    <w:basedOn w:val="Normal"/>
    <w:link w:val="En-tteCar"/>
    <w:uiPriority w:val="99"/>
    <w:unhideWhenUsed/>
    <w:rsid w:val="0034019D"/>
    <w:pPr>
      <w:tabs>
        <w:tab w:val="center" w:pos="4703"/>
        <w:tab w:val="right" w:pos="9406"/>
      </w:tabs>
      <w:spacing w:after="0" w:line="240" w:lineRule="auto"/>
    </w:pPr>
  </w:style>
  <w:style w:type="character" w:customStyle="1" w:styleId="En-tteCar">
    <w:name w:val="En-tête Car"/>
    <w:basedOn w:val="Policepardfaut"/>
    <w:link w:val="En-tte"/>
    <w:uiPriority w:val="99"/>
    <w:rsid w:val="0034019D"/>
  </w:style>
  <w:style w:type="paragraph" w:styleId="Pieddepage">
    <w:name w:val="footer"/>
    <w:basedOn w:val="Normal"/>
    <w:link w:val="PieddepageCar"/>
    <w:uiPriority w:val="99"/>
    <w:unhideWhenUsed/>
    <w:rsid w:val="0034019D"/>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40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96BCADD4E6F4EA1DDDCD6E2652DAC" ma:contentTypeVersion="6" ma:contentTypeDescription="Crée un document." ma:contentTypeScope="" ma:versionID="348daa47207bd1fca195dfa0197e3a98">
  <xsd:schema xmlns:xsd="http://www.w3.org/2001/XMLSchema" xmlns:xs="http://www.w3.org/2001/XMLSchema" xmlns:p="http://schemas.microsoft.com/office/2006/metadata/properties" xmlns:ns2="de108e5b-db20-4978-9002-fd73d83ecd79" xmlns:ns3="4735e7c0-aaad-48cc-8dca-7e6090e39f44" targetNamespace="http://schemas.microsoft.com/office/2006/metadata/properties" ma:root="true" ma:fieldsID="aa432a8007e58ab774aaa4246b8b2026" ns2:_="" ns3:_="">
    <xsd:import namespace="de108e5b-db20-4978-9002-fd73d83ecd79"/>
    <xsd:import namespace="4735e7c0-aaad-48cc-8dca-7e6090e39f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08e5b-db20-4978-9002-fd73d83ec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5e7c0-aaad-48cc-8dca-7e6090e39f4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D2FE2-22CD-4536-8875-E0E5A1133D52}"/>
</file>

<file path=customXml/itemProps2.xml><?xml version="1.0" encoding="utf-8"?>
<ds:datastoreItem xmlns:ds="http://schemas.openxmlformats.org/officeDocument/2006/customXml" ds:itemID="{7420A224-DC91-4566-A799-CE2593509CEF}">
  <ds:schemaRefs>
    <ds:schemaRef ds:uri="http://schemas.microsoft.com/sharepoint/v3/contenttype/forms"/>
  </ds:schemaRefs>
</ds:datastoreItem>
</file>

<file path=customXml/itemProps3.xml><?xml version="1.0" encoding="utf-8"?>
<ds:datastoreItem xmlns:ds="http://schemas.openxmlformats.org/officeDocument/2006/customXml" ds:itemID="{24262493-2A82-4080-8871-84E55E76F66E}">
  <ds:schemaRefs>
    <ds:schemaRef ds:uri="http://schemas.microsoft.com/office/2006/metadata/properties"/>
    <ds:schemaRef ds:uri="http://schemas.microsoft.com/office/infopath/2007/PartnerControls"/>
    <ds:schemaRef ds:uri="f5297b4f-d449-4faa-9540-e1d1764adf76"/>
    <ds:schemaRef ds:uri="861ecc96-27ef-4a41-a7f7-541e311108a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2576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Malette Philippe</dc:creator>
  <cp:keywords/>
  <dc:description/>
  <cp:lastModifiedBy>Florence Dionne</cp:lastModifiedBy>
  <cp:revision>7</cp:revision>
  <dcterms:created xsi:type="dcterms:W3CDTF">2025-10-15T00:52:00Z</dcterms:created>
  <dcterms:modified xsi:type="dcterms:W3CDTF">2025-11-14T02:45:00Z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0x010100E3A96BCADD4E6F4EA1DDDCD6E2652DAC</vt:lpwstr>
  </property>
</Properties>
</file>