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8AFD6" w14:textId="77777777" w:rsidR="00B36D9B" w:rsidRDefault="003D51C7" w:rsidP="003D51C7">
      <w:pPr>
        <w:rPr>
          <w:b/>
          <w:bCs/>
          <w:sz w:val="28"/>
          <w:szCs w:val="28"/>
        </w:rPr>
      </w:pPr>
      <w:proofErr w:type="spellStart"/>
      <w:r w:rsidRPr="003D51C7">
        <w:rPr>
          <w:b/>
          <w:bCs/>
          <w:sz w:val="28"/>
          <w:szCs w:val="28"/>
        </w:rPr>
        <w:t>Water Polo</w:t>
      </w:r>
      <w:proofErr w:type="spellEnd"/>
      <w:r w:rsidRPr="003D51C7">
        <w:rPr>
          <w:b/>
          <w:bCs/>
          <w:sz w:val="28"/>
          <w:szCs w:val="28"/>
        </w:rPr>
        <w:t xml:space="preserve"> Québec - Rapport du Comité </w:t>
      </w:r>
      <w:r w:rsidR="009D51D5">
        <w:rPr>
          <w:b/>
          <w:bCs/>
          <w:sz w:val="28"/>
          <w:szCs w:val="28"/>
        </w:rPr>
        <w:t>de Gestion de la trésorerie</w:t>
      </w:r>
      <w:r w:rsidRPr="003D51C7">
        <w:rPr>
          <w:b/>
          <w:bCs/>
          <w:sz w:val="28"/>
          <w:szCs w:val="28"/>
        </w:rPr>
        <w:t xml:space="preserve"> 2024-2025</w:t>
      </w:r>
    </w:p>
    <w:p w14:paraId="544D99BF" w14:textId="6F5D4B91" w:rsidR="00B36D9B" w:rsidRDefault="00B36D9B" w:rsidP="004E03B3">
      <w:pPr>
        <w:spacing w:line="168" w:lineRule="auto"/>
        <w:rPr>
          <w:sz w:val="20"/>
          <w:szCs w:val="20"/>
        </w:rPr>
      </w:pPr>
      <w:r>
        <w:rPr>
          <w:sz w:val="20"/>
          <w:szCs w:val="20"/>
        </w:rPr>
        <w:t>Membres :</w:t>
      </w:r>
    </w:p>
    <w:p w14:paraId="0DEE047A" w14:textId="41DE75B8" w:rsidR="003D51C7" w:rsidRDefault="00B36D9B" w:rsidP="00555F35">
      <w:pPr>
        <w:spacing w:line="168" w:lineRule="auto"/>
        <w:rPr>
          <w:sz w:val="20"/>
          <w:szCs w:val="20"/>
        </w:rPr>
      </w:pPr>
      <w:r>
        <w:rPr>
          <w:sz w:val="20"/>
          <w:szCs w:val="20"/>
        </w:rPr>
        <w:t>Jana Salat</w:t>
      </w:r>
    </w:p>
    <w:p w14:paraId="64A55359" w14:textId="77777777" w:rsidR="00D20A3C" w:rsidRDefault="00D20A3C" w:rsidP="00D20A3C">
      <w:pPr>
        <w:spacing w:line="168" w:lineRule="auto"/>
        <w:rPr>
          <w:sz w:val="20"/>
          <w:szCs w:val="20"/>
        </w:rPr>
      </w:pPr>
      <w:r>
        <w:rPr>
          <w:sz w:val="20"/>
          <w:szCs w:val="20"/>
        </w:rPr>
        <w:t>Sylvain Roberge</w:t>
      </w:r>
    </w:p>
    <w:p w14:paraId="46F29E07" w14:textId="77777777" w:rsidR="00D20A3C" w:rsidRPr="00555F35" w:rsidRDefault="00D20A3C" w:rsidP="00555F35">
      <w:pPr>
        <w:spacing w:line="168" w:lineRule="auto"/>
        <w:rPr>
          <w:sz w:val="20"/>
          <w:szCs w:val="20"/>
        </w:rPr>
      </w:pPr>
    </w:p>
    <w:p w14:paraId="39FBDF5C" w14:textId="3AFCC3BD" w:rsidR="003D51C7" w:rsidRPr="003D51C7" w:rsidRDefault="003D51C7" w:rsidP="003D51C7">
      <w:pPr>
        <w:rPr>
          <w:sz w:val="20"/>
          <w:szCs w:val="20"/>
        </w:rPr>
      </w:pPr>
      <w:r w:rsidRPr="003D51C7">
        <w:rPr>
          <w:b/>
          <w:bCs/>
          <w:sz w:val="20"/>
          <w:szCs w:val="20"/>
        </w:rPr>
        <w:t>Initiatives principales et réalisations :</w:t>
      </w:r>
    </w:p>
    <w:p w14:paraId="0EB4969B" w14:textId="282495EC" w:rsidR="003D51C7" w:rsidRPr="003D51C7" w:rsidRDefault="009D51D5" w:rsidP="003D51C7">
      <w:pPr>
        <w:numPr>
          <w:ilvl w:val="0"/>
          <w:numId w:val="1"/>
        </w:numPr>
        <w:rPr>
          <w:sz w:val="20"/>
          <w:szCs w:val="20"/>
        </w:rPr>
      </w:pPr>
      <w:r>
        <w:rPr>
          <w:b/>
          <w:bCs/>
          <w:sz w:val="20"/>
          <w:szCs w:val="20"/>
        </w:rPr>
        <w:t>États financiers mensuels</w:t>
      </w:r>
      <w:r w:rsidR="003D51C7" w:rsidRPr="003D51C7">
        <w:rPr>
          <w:b/>
          <w:bCs/>
          <w:sz w:val="20"/>
          <w:szCs w:val="20"/>
        </w:rPr>
        <w:t xml:space="preserve"> :</w:t>
      </w:r>
      <w:r w:rsidR="003D51C7" w:rsidRPr="003D51C7">
        <w:rPr>
          <w:sz w:val="20"/>
          <w:szCs w:val="20"/>
        </w:rPr>
        <w:br/>
      </w:r>
      <w:r>
        <w:rPr>
          <w:sz w:val="20"/>
          <w:szCs w:val="20"/>
        </w:rPr>
        <w:t xml:space="preserve">Préparation d’un tableau résumant le résultat des opérations du mois par rapport au budget. </w:t>
      </w:r>
      <w:r w:rsidR="00C0000C">
        <w:rPr>
          <w:sz w:val="20"/>
          <w:szCs w:val="20"/>
        </w:rPr>
        <w:t xml:space="preserve">Les résultats </w:t>
      </w:r>
      <w:r w:rsidR="00321A21">
        <w:rPr>
          <w:sz w:val="20"/>
          <w:szCs w:val="20"/>
        </w:rPr>
        <w:t xml:space="preserve">et le budget </w:t>
      </w:r>
      <w:r w:rsidR="00C0000C">
        <w:rPr>
          <w:sz w:val="20"/>
          <w:szCs w:val="20"/>
        </w:rPr>
        <w:t>sont présentés par projets</w:t>
      </w:r>
      <w:r w:rsidR="00321A21">
        <w:rPr>
          <w:sz w:val="20"/>
          <w:szCs w:val="20"/>
        </w:rPr>
        <w:t>.</w:t>
      </w:r>
    </w:p>
    <w:p w14:paraId="4102650B" w14:textId="7FACC507" w:rsidR="003D51C7" w:rsidRPr="003D51C7" w:rsidRDefault="009D51D5" w:rsidP="003D51C7">
      <w:pPr>
        <w:numPr>
          <w:ilvl w:val="0"/>
          <w:numId w:val="1"/>
        </w:numPr>
        <w:rPr>
          <w:sz w:val="20"/>
          <w:szCs w:val="20"/>
        </w:rPr>
      </w:pPr>
      <w:r>
        <w:rPr>
          <w:b/>
          <w:bCs/>
          <w:sz w:val="20"/>
          <w:szCs w:val="20"/>
        </w:rPr>
        <w:t>Subvention</w:t>
      </w:r>
      <w:r w:rsidR="003D51C7" w:rsidRPr="003D51C7">
        <w:rPr>
          <w:b/>
          <w:bCs/>
          <w:sz w:val="20"/>
          <w:szCs w:val="20"/>
        </w:rPr>
        <w:t xml:space="preserve"> :</w:t>
      </w:r>
      <w:r w:rsidR="003D51C7" w:rsidRPr="003D51C7">
        <w:rPr>
          <w:sz w:val="20"/>
          <w:szCs w:val="20"/>
        </w:rPr>
        <w:br/>
      </w:r>
      <w:r>
        <w:rPr>
          <w:sz w:val="20"/>
          <w:szCs w:val="20"/>
        </w:rPr>
        <w:t>Suivi mensuel de l’état des subventions afin de s’assurer de l’encaissement des sommes prévues au budget et analyse des écarts. Établissement en fin d’exercice des subventions à recevoir afin de bien refléter le total des revenus provenant des subventions aux résultats.</w:t>
      </w:r>
    </w:p>
    <w:p w14:paraId="13EB1B55" w14:textId="663B5E8F" w:rsidR="003D51C7" w:rsidRPr="003D51C7" w:rsidRDefault="009D51D5" w:rsidP="003D51C7">
      <w:pPr>
        <w:numPr>
          <w:ilvl w:val="0"/>
          <w:numId w:val="1"/>
        </w:numPr>
        <w:rPr>
          <w:sz w:val="20"/>
          <w:szCs w:val="20"/>
        </w:rPr>
      </w:pPr>
      <w:r>
        <w:rPr>
          <w:b/>
          <w:bCs/>
          <w:sz w:val="20"/>
          <w:szCs w:val="20"/>
        </w:rPr>
        <w:t>Encaisse</w:t>
      </w:r>
      <w:r w:rsidR="003D51C7" w:rsidRPr="003D51C7">
        <w:rPr>
          <w:b/>
          <w:bCs/>
          <w:sz w:val="20"/>
          <w:szCs w:val="20"/>
        </w:rPr>
        <w:t xml:space="preserve"> :</w:t>
      </w:r>
      <w:r w:rsidR="003D51C7" w:rsidRPr="003D51C7">
        <w:rPr>
          <w:sz w:val="20"/>
          <w:szCs w:val="20"/>
        </w:rPr>
        <w:br/>
      </w:r>
      <w:r>
        <w:rPr>
          <w:sz w:val="20"/>
          <w:szCs w:val="20"/>
        </w:rPr>
        <w:t>Suivi mensuel de la situation de l’encaisse, compte courant et compte placement. Évaluation des sommes nécessaires à laisser dans le compte courant afin de permettre de poursuivre les opérations courantes. Sommes excédentaires placées dans le compte placement en accord avec la politique de gestion de la trésorerie en vigueur.</w:t>
      </w:r>
    </w:p>
    <w:p w14:paraId="3D845888" w14:textId="6FE0C166" w:rsidR="003D51C7" w:rsidRDefault="00A42857" w:rsidP="003D51C7">
      <w:pPr>
        <w:numPr>
          <w:ilvl w:val="0"/>
          <w:numId w:val="1"/>
        </w:numPr>
        <w:rPr>
          <w:sz w:val="20"/>
          <w:szCs w:val="20"/>
        </w:rPr>
      </w:pPr>
      <w:r>
        <w:rPr>
          <w:b/>
          <w:bCs/>
          <w:sz w:val="20"/>
          <w:szCs w:val="20"/>
        </w:rPr>
        <w:t>Fonds Grand Montréal et Fonds Desjardins</w:t>
      </w:r>
      <w:r w:rsidR="003D51C7" w:rsidRPr="003D51C7">
        <w:rPr>
          <w:b/>
          <w:bCs/>
          <w:sz w:val="20"/>
          <w:szCs w:val="20"/>
        </w:rPr>
        <w:t xml:space="preserve"> :</w:t>
      </w:r>
      <w:r w:rsidR="003D51C7" w:rsidRPr="003D51C7">
        <w:rPr>
          <w:sz w:val="20"/>
          <w:szCs w:val="20"/>
        </w:rPr>
        <w:br/>
      </w:r>
      <w:r>
        <w:rPr>
          <w:sz w:val="20"/>
          <w:szCs w:val="20"/>
        </w:rPr>
        <w:t>Suivi des sommes venant à échéance (10 ans) afin de s’assurer du versement des sommes échues.</w:t>
      </w:r>
    </w:p>
    <w:p w14:paraId="2097EB9D" w14:textId="345FEA1C" w:rsidR="009E08AD" w:rsidRDefault="00B36D9B" w:rsidP="009E08AD">
      <w:pPr>
        <w:ind w:left="720"/>
        <w:rPr>
          <w:sz w:val="20"/>
          <w:szCs w:val="20"/>
        </w:rPr>
      </w:pPr>
      <w:r>
        <w:rPr>
          <w:sz w:val="20"/>
          <w:szCs w:val="20"/>
        </w:rPr>
        <w:t>Membres</w:t>
      </w:r>
    </w:p>
    <w:p w14:paraId="2A9F0924" w14:textId="29C06267" w:rsidR="00A42857" w:rsidRPr="003D51C7" w:rsidRDefault="00A42857" w:rsidP="00A42857">
      <w:pPr>
        <w:rPr>
          <w:sz w:val="20"/>
          <w:szCs w:val="20"/>
        </w:rPr>
      </w:pPr>
      <w:r>
        <w:rPr>
          <w:sz w:val="20"/>
          <w:szCs w:val="20"/>
        </w:rPr>
        <w:t xml:space="preserve">Tous ces documents sont </w:t>
      </w:r>
      <w:r w:rsidR="00C55F68">
        <w:rPr>
          <w:sz w:val="20"/>
          <w:szCs w:val="20"/>
        </w:rPr>
        <w:t>présentés</w:t>
      </w:r>
      <w:r>
        <w:rPr>
          <w:sz w:val="20"/>
          <w:szCs w:val="20"/>
        </w:rPr>
        <w:t xml:space="preserve"> à chaque réunion du CA.</w:t>
      </w:r>
    </w:p>
    <w:p w14:paraId="7FDA835C" w14:textId="1C94D8A6" w:rsidR="003D51C7" w:rsidRPr="003D51C7" w:rsidRDefault="003D51C7" w:rsidP="00A42857">
      <w:pPr>
        <w:rPr>
          <w:sz w:val="22"/>
          <w:szCs w:val="22"/>
        </w:rPr>
      </w:pPr>
      <w:r>
        <w:rPr>
          <w:b/>
          <w:bCs/>
          <w:sz w:val="20"/>
          <w:szCs w:val="20"/>
        </w:rPr>
        <w:br/>
      </w:r>
    </w:p>
    <w:sectPr w:rsidR="003D51C7" w:rsidRPr="003D51C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64B66"/>
    <w:multiLevelType w:val="multilevel"/>
    <w:tmpl w:val="9BD2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2B6B49"/>
    <w:multiLevelType w:val="multilevel"/>
    <w:tmpl w:val="4B5C6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5720071">
    <w:abstractNumId w:val="1"/>
  </w:num>
  <w:num w:numId="2" w16cid:durableId="989217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C7"/>
    <w:rsid w:val="00321A21"/>
    <w:rsid w:val="00335F88"/>
    <w:rsid w:val="003A0019"/>
    <w:rsid w:val="003D51C7"/>
    <w:rsid w:val="004E03B3"/>
    <w:rsid w:val="00555F35"/>
    <w:rsid w:val="0071331A"/>
    <w:rsid w:val="007F6C1E"/>
    <w:rsid w:val="008D3802"/>
    <w:rsid w:val="008E7A62"/>
    <w:rsid w:val="009D51D5"/>
    <w:rsid w:val="009E08AD"/>
    <w:rsid w:val="00A42857"/>
    <w:rsid w:val="00B36D9B"/>
    <w:rsid w:val="00C0000C"/>
    <w:rsid w:val="00C55F68"/>
    <w:rsid w:val="00D20A3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F22F"/>
  <w15:chartTrackingRefBased/>
  <w15:docId w15:val="{E5B67020-2EE3-44AF-AA6E-B3354D96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D5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D5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D51C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D51C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D51C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D51C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D51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D51C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D51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51C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D51C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D51C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D51C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D51C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D51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D51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D51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D51C7"/>
    <w:rPr>
      <w:rFonts w:eastAsiaTheme="majorEastAsia" w:cstheme="majorBidi"/>
      <w:color w:val="272727" w:themeColor="text1" w:themeTint="D8"/>
    </w:rPr>
  </w:style>
  <w:style w:type="paragraph" w:styleId="Titre">
    <w:name w:val="Title"/>
    <w:basedOn w:val="Normal"/>
    <w:next w:val="Normal"/>
    <w:link w:val="TitreCar"/>
    <w:uiPriority w:val="10"/>
    <w:qFormat/>
    <w:rsid w:val="003D5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D51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D51C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D51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D51C7"/>
    <w:pPr>
      <w:spacing w:before="160"/>
      <w:jc w:val="center"/>
    </w:pPr>
    <w:rPr>
      <w:i/>
      <w:iCs/>
      <w:color w:val="404040" w:themeColor="text1" w:themeTint="BF"/>
    </w:rPr>
  </w:style>
  <w:style w:type="character" w:customStyle="1" w:styleId="CitationCar">
    <w:name w:val="Citation Car"/>
    <w:basedOn w:val="Policepardfaut"/>
    <w:link w:val="Citation"/>
    <w:uiPriority w:val="29"/>
    <w:rsid w:val="003D51C7"/>
    <w:rPr>
      <w:i/>
      <w:iCs/>
      <w:color w:val="404040" w:themeColor="text1" w:themeTint="BF"/>
    </w:rPr>
  </w:style>
  <w:style w:type="paragraph" w:styleId="Paragraphedeliste">
    <w:name w:val="List Paragraph"/>
    <w:basedOn w:val="Normal"/>
    <w:uiPriority w:val="34"/>
    <w:qFormat/>
    <w:rsid w:val="003D51C7"/>
    <w:pPr>
      <w:ind w:left="720"/>
      <w:contextualSpacing/>
    </w:pPr>
  </w:style>
  <w:style w:type="character" w:styleId="Accentuationintense">
    <w:name w:val="Intense Emphasis"/>
    <w:basedOn w:val="Policepardfaut"/>
    <w:uiPriority w:val="21"/>
    <w:qFormat/>
    <w:rsid w:val="003D51C7"/>
    <w:rPr>
      <w:i/>
      <w:iCs/>
      <w:color w:val="0F4761" w:themeColor="accent1" w:themeShade="BF"/>
    </w:rPr>
  </w:style>
  <w:style w:type="paragraph" w:styleId="Citationintense">
    <w:name w:val="Intense Quote"/>
    <w:basedOn w:val="Normal"/>
    <w:next w:val="Normal"/>
    <w:link w:val="CitationintenseCar"/>
    <w:uiPriority w:val="30"/>
    <w:qFormat/>
    <w:rsid w:val="003D5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D51C7"/>
    <w:rPr>
      <w:i/>
      <w:iCs/>
      <w:color w:val="0F4761" w:themeColor="accent1" w:themeShade="BF"/>
    </w:rPr>
  </w:style>
  <w:style w:type="character" w:styleId="Rfrenceintense">
    <w:name w:val="Intense Reference"/>
    <w:basedOn w:val="Policepardfaut"/>
    <w:uiPriority w:val="32"/>
    <w:qFormat/>
    <w:rsid w:val="003D51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96BCADD4E6F4EA1DDDCD6E2652DAC" ma:contentTypeVersion="6" ma:contentTypeDescription="Crée un document." ma:contentTypeScope="" ma:versionID="348daa47207bd1fca195dfa0197e3a98">
  <xsd:schema xmlns:xsd="http://www.w3.org/2001/XMLSchema" xmlns:xs="http://www.w3.org/2001/XMLSchema" xmlns:p="http://schemas.microsoft.com/office/2006/metadata/properties" xmlns:ns2="de108e5b-db20-4978-9002-fd73d83ecd79" xmlns:ns3="4735e7c0-aaad-48cc-8dca-7e6090e39f44" targetNamespace="http://schemas.microsoft.com/office/2006/metadata/properties" ma:root="true" ma:fieldsID="aa432a8007e58ab774aaa4246b8b2026" ns2:_="" ns3:_="">
    <xsd:import namespace="de108e5b-db20-4978-9002-fd73d83ecd79"/>
    <xsd:import namespace="4735e7c0-aaad-48cc-8dca-7e6090e39f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08e5b-db20-4978-9002-fd73d83ec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5e7c0-aaad-48cc-8dca-7e6090e39f44"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C9C076-E1DF-462B-ABAA-2370369DB18E}"/>
</file>

<file path=customXml/itemProps2.xml><?xml version="1.0" encoding="utf-8"?>
<ds:datastoreItem xmlns:ds="http://schemas.openxmlformats.org/officeDocument/2006/customXml" ds:itemID="{9AA5931D-1C81-448C-ABCF-48E10509B12F}"/>
</file>

<file path=customXml/itemProps3.xml><?xml version="1.0" encoding="utf-8"?>
<ds:datastoreItem xmlns:ds="http://schemas.openxmlformats.org/officeDocument/2006/customXml" ds:itemID="{275407B3-EB65-44AA-9577-9B09EAF6C0F2}"/>
</file>

<file path=docProps/app.xml><?xml version="1.0" encoding="utf-8"?>
<Properties xmlns="http://schemas.openxmlformats.org/officeDocument/2006/extended-properties" xmlns:vt="http://schemas.openxmlformats.org/officeDocument/2006/docPropsVTypes">
  <Template>Normal</Template>
  <TotalTime>14</TotalTime>
  <Pages>1</Pages>
  <Words>178</Words>
  <Characters>981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Fitzgibbon</dc:creator>
  <cp:keywords/>
  <dc:description/>
  <cp:lastModifiedBy>Sylvain roberge</cp:lastModifiedBy>
  <cp:revision>11</cp:revision>
  <dcterms:created xsi:type="dcterms:W3CDTF">2025-10-23T14:24:00Z</dcterms:created>
  <dcterms:modified xsi:type="dcterms:W3CDTF">2025-11-12T01:48:00Z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0x010100E3A96BCADD4E6F4EA1DDDCD6E2652DAC</vt:lpwstr>
  </property>
</Properties>
</file>